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2DEF" w14:textId="26C6AFD4" w:rsidR="00D525B2" w:rsidRDefault="006625CB" w:rsidP="00D525B2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F541169" wp14:editId="1B8D53B8">
            <wp:extent cx="3495675" cy="1257300"/>
            <wp:effectExtent l="0" t="0" r="9525" b="0"/>
            <wp:docPr id="6038595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59519" name="Picture 6038595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A353A" w14:textId="1B2AB9F5" w:rsidR="00A918EC" w:rsidRDefault="000370B9" w:rsidP="00D525B2">
      <w:pPr>
        <w:rPr>
          <w:b/>
          <w:bCs/>
        </w:rPr>
      </w:pPr>
      <w:r w:rsidRPr="000370B9">
        <w:rPr>
          <w:b/>
          <w:bCs/>
        </w:rPr>
        <w:t>OSSLT (Ontario Secondary School Literacy Test)</w:t>
      </w:r>
      <w:r w:rsidRPr="000370B9">
        <w:rPr>
          <w:b/>
          <w:bCs/>
        </w:rPr>
        <w:br/>
        <w:t>• Administration window: Monday, March 23 – Monday, April 20, 2026</w:t>
      </w:r>
    </w:p>
    <w:p w14:paraId="5A91AE9D" w14:textId="42894789" w:rsidR="005B0B69" w:rsidRDefault="00D525B2" w:rsidP="00D525B2">
      <w:pPr>
        <w:rPr>
          <w:b/>
          <w:bCs/>
        </w:rPr>
      </w:pPr>
      <w:r>
        <w:rPr>
          <w:b/>
          <w:bCs/>
        </w:rPr>
        <w:t>Rational:</w:t>
      </w:r>
    </w:p>
    <w:p w14:paraId="0D2FCC90" w14:textId="16DD6A25" w:rsidR="009F3437" w:rsidRPr="00F63B8E" w:rsidRDefault="009F3437" w:rsidP="00D525B2">
      <w:r w:rsidRPr="00F63B8E">
        <w:t>The OSSLT is a high-stakes provincial literacy</w:t>
      </w:r>
      <w:r w:rsidR="00A20029" w:rsidRPr="00F63B8E">
        <w:t xml:space="preserve"> </w:t>
      </w:r>
      <w:r w:rsidRPr="00F63B8E">
        <w:t>assessment evaluat</w:t>
      </w:r>
      <w:r w:rsidR="007E23C1" w:rsidRPr="00F63B8E">
        <w:t xml:space="preserve">ing the </w:t>
      </w:r>
      <w:r w:rsidRPr="00F63B8E">
        <w:t>students</w:t>
      </w:r>
      <w:r w:rsidR="002F596D" w:rsidRPr="00F63B8E">
        <w:t>’ literacy -</w:t>
      </w:r>
      <w:r w:rsidRPr="00F63B8E">
        <w:t>a graduation requirement under the authority of Ontario Ministry of Education.</w:t>
      </w:r>
      <w:r w:rsidR="00556666" w:rsidRPr="00F63B8E">
        <w:t xml:space="preserve"> Literacy development is not confined to English departments; it is a whole-school responsibility.</w:t>
      </w:r>
    </w:p>
    <w:p w14:paraId="5272DE6E" w14:textId="42B1F3FD" w:rsidR="00D525B2" w:rsidRDefault="00D525B2" w:rsidP="00D525B2">
      <w:pPr>
        <w:rPr>
          <w:b/>
          <w:bCs/>
        </w:rPr>
      </w:pPr>
      <w:r>
        <w:rPr>
          <w:b/>
          <w:bCs/>
        </w:rPr>
        <w:t>Why?</w:t>
      </w:r>
    </w:p>
    <w:p w14:paraId="61FC6A86" w14:textId="6B800320" w:rsidR="009E7456" w:rsidRPr="009E7456" w:rsidRDefault="009F6FF0" w:rsidP="009E7456">
      <w:pPr>
        <w:rPr>
          <w:b/>
          <w:bCs/>
        </w:rPr>
      </w:pPr>
      <w:r w:rsidRPr="009E7456">
        <w:t xml:space="preserve">Systematic literacy instruction </w:t>
      </w:r>
      <w:r w:rsidR="00955736" w:rsidRPr="00F63B8E">
        <w:t xml:space="preserve">will </w:t>
      </w:r>
      <w:r w:rsidRPr="009E7456">
        <w:t xml:space="preserve">reduce achievement gaps and </w:t>
      </w:r>
      <w:r w:rsidR="009563DA" w:rsidRPr="00F63B8E">
        <w:t>support</w:t>
      </w:r>
      <w:r w:rsidRPr="009E7456">
        <w:t xml:space="preserve"> equitable outcomes</w:t>
      </w:r>
      <w:r w:rsidR="00955736" w:rsidRPr="00F63B8E">
        <w:t xml:space="preserve">. </w:t>
      </w:r>
      <w:r w:rsidR="009563DA" w:rsidRPr="00F63B8E">
        <w:t>Literacy</w:t>
      </w:r>
      <w:r w:rsidR="009E7456" w:rsidRPr="00F63B8E">
        <w:t xml:space="preserve"> skill</w:t>
      </w:r>
      <w:r w:rsidR="00955736" w:rsidRPr="00F63B8E">
        <w:t xml:space="preserve"> development across all subject disciplines</w:t>
      </w:r>
      <w:r w:rsidR="009E7456" w:rsidRPr="00F63B8E">
        <w:t xml:space="preserve"> will ensure educators understand accommodation policies, differentiated instruction, and targeted intervention strategies to support multilingual learners, students with IEPs, and other vulnerable groups.</w:t>
      </w:r>
      <w:r w:rsidR="009563DA">
        <w:rPr>
          <w:b/>
          <w:bCs/>
        </w:rPr>
        <w:t xml:space="preserve"> </w:t>
      </w:r>
      <w:r w:rsidR="009563DA" w:rsidRPr="001063DF">
        <w:t>Strong results are essential to both attracting prospective families and retaining current students.</w:t>
      </w:r>
    </w:p>
    <w:p w14:paraId="7D848E71" w14:textId="77777777" w:rsidR="00D525B2" w:rsidRDefault="00D525B2" w:rsidP="00D525B2">
      <w:pPr>
        <w:rPr>
          <w:b/>
          <w:bCs/>
        </w:rPr>
      </w:pPr>
      <w:r w:rsidRPr="00554A1F">
        <w:rPr>
          <w:b/>
          <w:bCs/>
        </w:rPr>
        <w:t>Workshop components:</w:t>
      </w:r>
    </w:p>
    <w:p w14:paraId="2CAB8204" w14:textId="2026E420" w:rsidR="00D66591" w:rsidRDefault="00D66591" w:rsidP="00D525B2">
      <w:r w:rsidRPr="000923D1">
        <w:t>Th</w:t>
      </w:r>
      <w:r w:rsidR="008B18BC">
        <w:t>is</w:t>
      </w:r>
      <w:r w:rsidRPr="000923D1">
        <w:t xml:space="preserve"> workshop</w:t>
      </w:r>
      <w:r w:rsidR="00C2485F" w:rsidRPr="00C2485F">
        <w:t xml:space="preserve"> be cyclical, data-driven, and embedded in school improvement planning</w:t>
      </w:r>
      <w:r w:rsidRPr="000923D1">
        <w:t xml:space="preserve"> </w:t>
      </w:r>
      <w:r w:rsidR="00CD6900">
        <w:t xml:space="preserve">tailored to </w:t>
      </w:r>
      <w:r w:rsidRPr="000923D1">
        <w:t xml:space="preserve">the unique needs of </w:t>
      </w:r>
      <w:r w:rsidR="00CD6900">
        <w:t xml:space="preserve">your </w:t>
      </w:r>
      <w:r w:rsidRPr="000923D1">
        <w:t>staff and students.</w:t>
      </w:r>
      <w:r w:rsidR="00CB69A6">
        <w:t xml:space="preserve"> Possible components for this professional learning could include:</w:t>
      </w:r>
    </w:p>
    <w:p w14:paraId="277DFFBC" w14:textId="0B4F0EE4" w:rsidR="000B096E" w:rsidRPr="00A03D65" w:rsidRDefault="00F90FB1" w:rsidP="00A03D65">
      <w:pPr>
        <w:rPr>
          <w:b/>
          <w:bCs/>
        </w:rPr>
      </w:pPr>
      <w:r>
        <w:rPr>
          <w:b/>
          <w:bCs/>
        </w:rPr>
        <w:t>1:</w:t>
      </w:r>
      <w:r w:rsidRPr="00A03D65">
        <w:rPr>
          <w:b/>
          <w:bCs/>
        </w:rPr>
        <w:t xml:space="preserve"> Foundations</w:t>
      </w:r>
      <w:r w:rsidR="000B096E" w:rsidRPr="00A03D65">
        <w:rPr>
          <w:b/>
          <w:bCs/>
        </w:rPr>
        <w:t xml:space="preserve"> and Context</w:t>
      </w:r>
    </w:p>
    <w:p w14:paraId="27C89B33" w14:textId="77777777" w:rsidR="000B096E" w:rsidRPr="000B096E" w:rsidRDefault="000B096E" w:rsidP="000B096E">
      <w:r w:rsidRPr="000B096E">
        <w:rPr>
          <w:b/>
          <w:bCs/>
        </w:rPr>
        <w:t>Objective:</w:t>
      </w:r>
      <w:r w:rsidRPr="000B096E">
        <w:t xml:space="preserve"> Build shared understanding.</w:t>
      </w:r>
    </w:p>
    <w:p w14:paraId="55F6CD71" w14:textId="77777777" w:rsidR="000B096E" w:rsidRPr="000B096E" w:rsidRDefault="000B096E" w:rsidP="000B096E">
      <w:r w:rsidRPr="000B096E">
        <w:rPr>
          <w:b/>
          <w:bCs/>
        </w:rPr>
        <w:t>Components:</w:t>
      </w:r>
    </w:p>
    <w:p w14:paraId="783440B0" w14:textId="77777777" w:rsidR="000B096E" w:rsidRPr="000B096E" w:rsidRDefault="000B096E" w:rsidP="00F90FB1">
      <w:pPr>
        <w:pStyle w:val="NoSpacing"/>
        <w:numPr>
          <w:ilvl w:val="0"/>
          <w:numId w:val="81"/>
        </w:numPr>
      </w:pPr>
      <w:r w:rsidRPr="000B096E">
        <w:t>Overview of OSSLT structure (online format, two sessions, reading and writing components).</w:t>
      </w:r>
    </w:p>
    <w:p w14:paraId="07A29B93" w14:textId="77777777" w:rsidR="000B096E" w:rsidRPr="000B096E" w:rsidRDefault="000B096E" w:rsidP="00F90FB1">
      <w:pPr>
        <w:pStyle w:val="NoSpacing"/>
        <w:numPr>
          <w:ilvl w:val="0"/>
          <w:numId w:val="81"/>
        </w:numPr>
      </w:pPr>
      <w:r w:rsidRPr="000B096E">
        <w:t>Review of assessment strands and competencies:</w:t>
      </w:r>
    </w:p>
    <w:p w14:paraId="0436FECB" w14:textId="77777777" w:rsidR="000B096E" w:rsidRPr="000B096E" w:rsidRDefault="000B096E" w:rsidP="00F90FB1">
      <w:pPr>
        <w:pStyle w:val="NoSpacing"/>
        <w:numPr>
          <w:ilvl w:val="0"/>
          <w:numId w:val="81"/>
        </w:numPr>
      </w:pPr>
      <w:r w:rsidRPr="000B096E">
        <w:t>Reading: understanding explicitly stated ideas, making inferences, interpreting graphics.</w:t>
      </w:r>
    </w:p>
    <w:p w14:paraId="4CD9618D" w14:textId="77777777" w:rsidR="000B096E" w:rsidRPr="000B096E" w:rsidRDefault="000B096E" w:rsidP="00F90FB1">
      <w:pPr>
        <w:pStyle w:val="NoSpacing"/>
        <w:numPr>
          <w:ilvl w:val="0"/>
          <w:numId w:val="81"/>
        </w:numPr>
      </w:pPr>
      <w:r w:rsidRPr="000B096E">
        <w:t>Writing: organization, development, conventions.</w:t>
      </w:r>
    </w:p>
    <w:p w14:paraId="4A8033B7" w14:textId="77777777" w:rsidR="000B096E" w:rsidRDefault="000B096E" w:rsidP="00F90FB1">
      <w:pPr>
        <w:pStyle w:val="NoSpacing"/>
        <w:numPr>
          <w:ilvl w:val="0"/>
          <w:numId w:val="81"/>
        </w:numPr>
      </w:pPr>
      <w:r w:rsidRPr="000B096E">
        <w:t>Clarification of accommodation and special provisions.</w:t>
      </w:r>
    </w:p>
    <w:p w14:paraId="13F15E84" w14:textId="77777777" w:rsidR="00F90FB1" w:rsidRPr="000B096E" w:rsidRDefault="00F90FB1" w:rsidP="00F90FB1">
      <w:pPr>
        <w:pStyle w:val="NoSpacing"/>
        <w:ind w:left="720"/>
      </w:pPr>
    </w:p>
    <w:p w14:paraId="25E063C8" w14:textId="040BF4BC" w:rsidR="000B096E" w:rsidRPr="000B096E" w:rsidRDefault="000B096E" w:rsidP="00B2753B">
      <w:r w:rsidRPr="000B096E">
        <w:rPr>
          <w:b/>
          <w:bCs/>
        </w:rPr>
        <w:lastRenderedPageBreak/>
        <w:t>Deliverables:</w:t>
      </w:r>
    </w:p>
    <w:p w14:paraId="131FB85D" w14:textId="6B72B6DB" w:rsidR="000B096E" w:rsidRPr="000B096E" w:rsidRDefault="000B096E" w:rsidP="000B096E">
      <w:pPr>
        <w:numPr>
          <w:ilvl w:val="0"/>
          <w:numId w:val="71"/>
        </w:numPr>
      </w:pPr>
      <w:r w:rsidRPr="000B096E">
        <w:t>Department alignment chart connecting curriculum expectations to OSSLT strands</w:t>
      </w:r>
    </w:p>
    <w:p w14:paraId="42F0733E" w14:textId="5AAD6F59" w:rsidR="000B096E" w:rsidRPr="00A03D65" w:rsidRDefault="00A03D65" w:rsidP="00A03D65">
      <w:pPr>
        <w:rPr>
          <w:b/>
          <w:bCs/>
        </w:rPr>
      </w:pPr>
      <w:r>
        <w:rPr>
          <w:b/>
          <w:bCs/>
        </w:rPr>
        <w:t xml:space="preserve">2: </w:t>
      </w:r>
      <w:r w:rsidR="000B096E" w:rsidRPr="00A03D65">
        <w:rPr>
          <w:b/>
          <w:bCs/>
        </w:rPr>
        <w:t>Data Analysis and Needs Assessment</w:t>
      </w:r>
    </w:p>
    <w:p w14:paraId="1D81F8DA" w14:textId="77777777" w:rsidR="000B096E" w:rsidRPr="000B096E" w:rsidRDefault="000B096E" w:rsidP="000B096E">
      <w:r w:rsidRPr="000B096E">
        <w:rPr>
          <w:b/>
          <w:bCs/>
        </w:rPr>
        <w:t>Objective:</w:t>
      </w:r>
      <w:r w:rsidRPr="000B096E">
        <w:t xml:space="preserve"> Identify instructional gaps.</w:t>
      </w:r>
    </w:p>
    <w:p w14:paraId="1E34892E" w14:textId="77777777" w:rsidR="000B096E" w:rsidRPr="000B096E" w:rsidRDefault="000B096E" w:rsidP="000B096E">
      <w:r w:rsidRPr="000B096E">
        <w:rPr>
          <w:b/>
          <w:bCs/>
        </w:rPr>
        <w:t>Activities:</w:t>
      </w:r>
    </w:p>
    <w:p w14:paraId="14E6E0EB" w14:textId="4009224A" w:rsidR="000B096E" w:rsidRPr="000B096E" w:rsidRDefault="000B096E" w:rsidP="00F90FB1">
      <w:pPr>
        <w:pStyle w:val="NoSpacing"/>
        <w:numPr>
          <w:ilvl w:val="0"/>
          <w:numId w:val="82"/>
        </w:numPr>
      </w:pPr>
      <w:r w:rsidRPr="000B096E">
        <w:t>Review EQAO school reports.</w:t>
      </w:r>
      <w:r w:rsidR="008B28A8">
        <w:t xml:space="preserve"> </w:t>
      </w:r>
      <w:r w:rsidR="008B28A8" w:rsidRPr="000B096E">
        <w:t>Where are students underperforming?</w:t>
      </w:r>
      <w:r w:rsidR="001702F6">
        <w:t xml:space="preserve"> </w:t>
      </w:r>
      <w:r w:rsidR="001702F6" w:rsidRPr="000B096E">
        <w:t>Are weaknesses skill-based (e.g., inference) or structural (e.g., paragraph organization)?</w:t>
      </w:r>
    </w:p>
    <w:p w14:paraId="26E5FE30" w14:textId="77777777" w:rsidR="001702F6" w:rsidRPr="000B096E" w:rsidRDefault="000B096E" w:rsidP="00F90FB1">
      <w:pPr>
        <w:pStyle w:val="NoSpacing"/>
        <w:numPr>
          <w:ilvl w:val="0"/>
          <w:numId w:val="82"/>
        </w:numPr>
      </w:pPr>
      <w:r w:rsidRPr="000B096E">
        <w:t>Disaggregate data (IEP, ELL, gender, etc.).</w:t>
      </w:r>
      <w:r w:rsidR="001702F6">
        <w:t xml:space="preserve"> </w:t>
      </w:r>
      <w:r w:rsidR="001702F6" w:rsidRPr="000B096E">
        <w:t>Which cohorts require targeted intervention?</w:t>
      </w:r>
    </w:p>
    <w:p w14:paraId="4F30DF11" w14:textId="77777777" w:rsidR="000B096E" w:rsidRPr="000B096E" w:rsidRDefault="000B096E" w:rsidP="000B096E">
      <w:r w:rsidRPr="000B096E">
        <w:rPr>
          <w:b/>
          <w:bCs/>
        </w:rPr>
        <w:t>Deliverables:</w:t>
      </w:r>
    </w:p>
    <w:p w14:paraId="20EA5ED4" w14:textId="77777777" w:rsidR="000B096E" w:rsidRPr="000B096E" w:rsidRDefault="000B096E" w:rsidP="00F90FB1">
      <w:pPr>
        <w:pStyle w:val="NoSpacing"/>
        <w:numPr>
          <w:ilvl w:val="0"/>
          <w:numId w:val="84"/>
        </w:numPr>
      </w:pPr>
      <w:r w:rsidRPr="000B096E">
        <w:t>Literacy Action Plan.</w:t>
      </w:r>
    </w:p>
    <w:p w14:paraId="15FCB3E3" w14:textId="0AB401B8" w:rsidR="000B096E" w:rsidRDefault="000B096E" w:rsidP="00F90FB1">
      <w:pPr>
        <w:pStyle w:val="NoSpacing"/>
        <w:numPr>
          <w:ilvl w:val="0"/>
          <w:numId w:val="84"/>
        </w:numPr>
      </w:pPr>
      <w:r w:rsidRPr="000B096E">
        <w:t>Identified priority strands.</w:t>
      </w:r>
    </w:p>
    <w:p w14:paraId="0A46B78A" w14:textId="77777777" w:rsidR="00F90FB1" w:rsidRPr="000B096E" w:rsidRDefault="00F90FB1" w:rsidP="00F90FB1">
      <w:pPr>
        <w:pStyle w:val="NoSpacing"/>
        <w:ind w:left="720"/>
      </w:pPr>
    </w:p>
    <w:p w14:paraId="1A8DCD1B" w14:textId="4B79EFF9" w:rsidR="000B096E" w:rsidRPr="000B096E" w:rsidRDefault="00775BD1" w:rsidP="000B096E">
      <w:pPr>
        <w:rPr>
          <w:b/>
          <w:bCs/>
        </w:rPr>
      </w:pPr>
      <w:r>
        <w:rPr>
          <w:b/>
          <w:bCs/>
        </w:rPr>
        <w:t xml:space="preserve"> </w:t>
      </w:r>
      <w:r w:rsidR="000B096E" w:rsidRPr="000B096E">
        <w:rPr>
          <w:b/>
          <w:bCs/>
        </w:rPr>
        <w:t>3: Instructional Capacity Building</w:t>
      </w:r>
    </w:p>
    <w:p w14:paraId="4D023CC8" w14:textId="77777777" w:rsidR="000B096E" w:rsidRPr="000B096E" w:rsidRDefault="000B096E" w:rsidP="000B096E">
      <w:r w:rsidRPr="000B096E">
        <w:rPr>
          <w:b/>
          <w:bCs/>
        </w:rPr>
        <w:t>Objective:</w:t>
      </w:r>
      <w:r w:rsidRPr="000B096E">
        <w:t xml:space="preserve"> Strengthen classroom practice.</w:t>
      </w:r>
    </w:p>
    <w:p w14:paraId="69E2926E" w14:textId="77777777" w:rsidR="000B096E" w:rsidRPr="000B096E" w:rsidRDefault="000B096E" w:rsidP="000B096E">
      <w:pPr>
        <w:rPr>
          <w:b/>
          <w:bCs/>
        </w:rPr>
      </w:pPr>
      <w:r w:rsidRPr="000B096E">
        <w:rPr>
          <w:b/>
          <w:bCs/>
        </w:rPr>
        <w:t>Focus Areas:</w:t>
      </w:r>
    </w:p>
    <w:p w14:paraId="341874A2" w14:textId="77777777" w:rsidR="000B096E" w:rsidRPr="000B096E" w:rsidRDefault="000B096E" w:rsidP="00F90FB1">
      <w:pPr>
        <w:pStyle w:val="NoSpacing"/>
        <w:numPr>
          <w:ilvl w:val="0"/>
          <w:numId w:val="85"/>
        </w:numPr>
      </w:pPr>
      <w:r w:rsidRPr="000B096E">
        <w:t>Explicit instruction in reading strategies (annotation, inferencing, summarization).</w:t>
      </w:r>
    </w:p>
    <w:p w14:paraId="293F2932" w14:textId="77777777" w:rsidR="000B096E" w:rsidRPr="000B096E" w:rsidRDefault="000B096E" w:rsidP="00F90FB1">
      <w:pPr>
        <w:pStyle w:val="NoSpacing"/>
        <w:numPr>
          <w:ilvl w:val="0"/>
          <w:numId w:val="85"/>
        </w:numPr>
      </w:pPr>
      <w:r w:rsidRPr="000B096E">
        <w:t>Structured writing frameworks (e.g., paragraph organization, thesis development).</w:t>
      </w:r>
    </w:p>
    <w:p w14:paraId="771C1B6F" w14:textId="77777777" w:rsidR="000B096E" w:rsidRPr="000B096E" w:rsidRDefault="000B096E" w:rsidP="00F90FB1">
      <w:pPr>
        <w:pStyle w:val="NoSpacing"/>
        <w:numPr>
          <w:ilvl w:val="0"/>
          <w:numId w:val="85"/>
        </w:numPr>
      </w:pPr>
      <w:r w:rsidRPr="000B096E">
        <w:t>Use of mentor texts.</w:t>
      </w:r>
    </w:p>
    <w:p w14:paraId="0C555AFA" w14:textId="77777777" w:rsidR="000B096E" w:rsidRPr="000B096E" w:rsidRDefault="000B096E" w:rsidP="00F90FB1">
      <w:pPr>
        <w:pStyle w:val="NoSpacing"/>
        <w:numPr>
          <w:ilvl w:val="0"/>
          <w:numId w:val="85"/>
        </w:numPr>
      </w:pPr>
      <w:r w:rsidRPr="000B096E">
        <w:t>Graphic text interpretation.</w:t>
      </w:r>
    </w:p>
    <w:p w14:paraId="418FE0CB" w14:textId="77777777" w:rsidR="000B096E" w:rsidRDefault="000B096E" w:rsidP="00F90FB1">
      <w:pPr>
        <w:pStyle w:val="NoSpacing"/>
        <w:numPr>
          <w:ilvl w:val="0"/>
          <w:numId w:val="85"/>
        </w:numPr>
      </w:pPr>
      <w:r w:rsidRPr="000B096E">
        <w:t>Formative assessment strategies aligned to OSSLT rubrics.</w:t>
      </w:r>
    </w:p>
    <w:p w14:paraId="3845B5A0" w14:textId="77777777" w:rsidR="00F90FB1" w:rsidRPr="000B096E" w:rsidRDefault="00F90FB1" w:rsidP="00F90FB1">
      <w:pPr>
        <w:pStyle w:val="NoSpacing"/>
        <w:ind w:left="720"/>
      </w:pPr>
    </w:p>
    <w:p w14:paraId="47AF9986" w14:textId="77777777" w:rsidR="000B096E" w:rsidRPr="000B096E" w:rsidRDefault="000B096E" w:rsidP="000B096E">
      <w:pPr>
        <w:rPr>
          <w:b/>
          <w:bCs/>
        </w:rPr>
      </w:pPr>
      <w:r w:rsidRPr="000B096E">
        <w:rPr>
          <w:b/>
          <w:bCs/>
        </w:rPr>
        <w:t>Pedagogical Approaches:</w:t>
      </w:r>
    </w:p>
    <w:p w14:paraId="36A171FD" w14:textId="77777777" w:rsidR="000B096E" w:rsidRPr="000B096E" w:rsidRDefault="000B096E" w:rsidP="00F90FB1">
      <w:pPr>
        <w:pStyle w:val="NoSpacing"/>
        <w:numPr>
          <w:ilvl w:val="0"/>
          <w:numId w:val="86"/>
        </w:numPr>
      </w:pPr>
      <w:r w:rsidRPr="000B096E">
        <w:t>Co-planning sessions across departments.</w:t>
      </w:r>
    </w:p>
    <w:p w14:paraId="6A9EB540" w14:textId="77777777" w:rsidR="000B096E" w:rsidRPr="000B096E" w:rsidRDefault="000B096E" w:rsidP="00F90FB1">
      <w:pPr>
        <w:pStyle w:val="NoSpacing"/>
        <w:numPr>
          <w:ilvl w:val="0"/>
          <w:numId w:val="86"/>
        </w:numPr>
      </w:pPr>
      <w:r w:rsidRPr="000B096E">
        <w:t>Moderated marking using OSSLT exemplars.</w:t>
      </w:r>
    </w:p>
    <w:p w14:paraId="659C36E2" w14:textId="77777777" w:rsidR="000B096E" w:rsidRPr="000B096E" w:rsidRDefault="000B096E" w:rsidP="00F90FB1">
      <w:pPr>
        <w:pStyle w:val="NoSpacing"/>
        <w:numPr>
          <w:ilvl w:val="0"/>
          <w:numId w:val="86"/>
        </w:numPr>
      </w:pPr>
      <w:r w:rsidRPr="000B096E">
        <w:t>Lesson study cycles.</w:t>
      </w:r>
    </w:p>
    <w:p w14:paraId="34F265C0" w14:textId="77777777" w:rsidR="000B096E" w:rsidRPr="000B096E" w:rsidRDefault="000B096E" w:rsidP="00F90FB1">
      <w:pPr>
        <w:pStyle w:val="NoSpacing"/>
        <w:numPr>
          <w:ilvl w:val="0"/>
          <w:numId w:val="86"/>
        </w:numPr>
      </w:pPr>
      <w:r w:rsidRPr="000B096E">
        <w:t>Modelled and shared writing strategies.</w:t>
      </w:r>
    </w:p>
    <w:p w14:paraId="7531EB14" w14:textId="77777777" w:rsidR="00D001A8" w:rsidRDefault="00D001A8" w:rsidP="000B096E">
      <w:pPr>
        <w:rPr>
          <w:b/>
          <w:bCs/>
        </w:rPr>
      </w:pPr>
    </w:p>
    <w:p w14:paraId="09653B08" w14:textId="0720177E" w:rsidR="000B096E" w:rsidRPr="000B096E" w:rsidRDefault="000B096E" w:rsidP="000B096E">
      <w:pPr>
        <w:rPr>
          <w:b/>
          <w:bCs/>
        </w:rPr>
      </w:pPr>
      <w:r w:rsidRPr="000B096E">
        <w:rPr>
          <w:b/>
          <w:bCs/>
        </w:rPr>
        <w:t>4: Targeted Student Intervention</w:t>
      </w:r>
    </w:p>
    <w:p w14:paraId="0B964C18" w14:textId="77777777" w:rsidR="000B096E" w:rsidRPr="000B096E" w:rsidRDefault="000B096E" w:rsidP="000B096E">
      <w:r w:rsidRPr="000B096E">
        <w:rPr>
          <w:b/>
          <w:bCs/>
        </w:rPr>
        <w:t>Objective:</w:t>
      </w:r>
      <w:r w:rsidRPr="000B096E">
        <w:t xml:space="preserve"> Support at-risk learners.</w:t>
      </w:r>
    </w:p>
    <w:p w14:paraId="1FF1F250" w14:textId="77777777" w:rsidR="000B096E" w:rsidRPr="000B096E" w:rsidRDefault="000B096E" w:rsidP="000B096E">
      <w:r w:rsidRPr="000B096E">
        <w:rPr>
          <w:b/>
          <w:bCs/>
        </w:rPr>
        <w:t>Strategies:</w:t>
      </w:r>
    </w:p>
    <w:p w14:paraId="1FE9A661" w14:textId="77777777" w:rsidR="000B096E" w:rsidRPr="000B096E" w:rsidRDefault="000B096E" w:rsidP="00D001A8">
      <w:pPr>
        <w:pStyle w:val="NoSpacing"/>
        <w:numPr>
          <w:ilvl w:val="0"/>
          <w:numId w:val="87"/>
        </w:numPr>
      </w:pPr>
      <w:r w:rsidRPr="000B096E">
        <w:t>Diagnostic pre-assessment.</w:t>
      </w:r>
    </w:p>
    <w:p w14:paraId="61A09D5F" w14:textId="77777777" w:rsidR="000B096E" w:rsidRPr="000B096E" w:rsidRDefault="000B096E" w:rsidP="00D001A8">
      <w:pPr>
        <w:pStyle w:val="NoSpacing"/>
        <w:numPr>
          <w:ilvl w:val="0"/>
          <w:numId w:val="87"/>
        </w:numPr>
      </w:pPr>
      <w:r w:rsidRPr="000B096E">
        <w:t>Small-group literacy blocks.</w:t>
      </w:r>
    </w:p>
    <w:p w14:paraId="69C21FF3" w14:textId="57E5B5AF" w:rsidR="000B096E" w:rsidRPr="000B096E" w:rsidRDefault="000B096E" w:rsidP="00D001A8">
      <w:pPr>
        <w:pStyle w:val="NoSpacing"/>
        <w:numPr>
          <w:ilvl w:val="0"/>
          <w:numId w:val="87"/>
        </w:numPr>
      </w:pPr>
      <w:r w:rsidRPr="000B096E">
        <w:t>After-school</w:t>
      </w:r>
      <w:r w:rsidR="00F90FB1">
        <w:t xml:space="preserve"> or lunch</w:t>
      </w:r>
      <w:r w:rsidRPr="000B096E">
        <w:t xml:space="preserve"> literacy clinics.</w:t>
      </w:r>
    </w:p>
    <w:p w14:paraId="57509055" w14:textId="77777777" w:rsidR="000B096E" w:rsidRPr="000B096E" w:rsidRDefault="000B096E" w:rsidP="00D001A8">
      <w:pPr>
        <w:pStyle w:val="NoSpacing"/>
        <w:numPr>
          <w:ilvl w:val="0"/>
          <w:numId w:val="87"/>
        </w:numPr>
      </w:pPr>
      <w:r w:rsidRPr="000B096E">
        <w:t>Integration of digital practice aligned with OSSLT format.</w:t>
      </w:r>
    </w:p>
    <w:p w14:paraId="48BDEBAA" w14:textId="77777777" w:rsidR="000B096E" w:rsidRDefault="000B096E" w:rsidP="00D001A8">
      <w:pPr>
        <w:pStyle w:val="NoSpacing"/>
        <w:numPr>
          <w:ilvl w:val="0"/>
          <w:numId w:val="87"/>
        </w:numPr>
      </w:pPr>
      <w:r w:rsidRPr="000B096E">
        <w:t>Scaffolded writing templates transitioning toward independence.</w:t>
      </w:r>
    </w:p>
    <w:p w14:paraId="530BC6A1" w14:textId="77777777" w:rsidR="00D001A8" w:rsidRPr="000B096E" w:rsidRDefault="00D001A8" w:rsidP="00D001A8">
      <w:pPr>
        <w:pStyle w:val="NoSpacing"/>
        <w:ind w:left="720"/>
      </w:pPr>
    </w:p>
    <w:p w14:paraId="4FB3D820" w14:textId="6372B904" w:rsidR="000B096E" w:rsidRPr="000B096E" w:rsidRDefault="000B096E" w:rsidP="000B096E">
      <w:pPr>
        <w:rPr>
          <w:b/>
          <w:bCs/>
        </w:rPr>
      </w:pPr>
      <w:r w:rsidRPr="000B096E">
        <w:rPr>
          <w:b/>
          <w:bCs/>
        </w:rPr>
        <w:t>5: Monitoring and Continuous Improvement</w:t>
      </w:r>
    </w:p>
    <w:p w14:paraId="41772A94" w14:textId="77777777" w:rsidR="000B096E" w:rsidRPr="000B096E" w:rsidRDefault="000B096E" w:rsidP="000B096E">
      <w:r w:rsidRPr="000B096E">
        <w:rPr>
          <w:b/>
          <w:bCs/>
        </w:rPr>
        <w:t>Objective:</w:t>
      </w:r>
      <w:r w:rsidRPr="000B096E">
        <w:t xml:space="preserve"> Sustain impact.</w:t>
      </w:r>
    </w:p>
    <w:p w14:paraId="13A93946" w14:textId="77777777" w:rsidR="000B096E" w:rsidRPr="000B096E" w:rsidRDefault="000B096E" w:rsidP="000B096E">
      <w:r w:rsidRPr="000B096E">
        <w:rPr>
          <w:b/>
          <w:bCs/>
        </w:rPr>
        <w:t>Mechanisms:</w:t>
      </w:r>
    </w:p>
    <w:p w14:paraId="5E06ED2C" w14:textId="77777777" w:rsidR="000B096E" w:rsidRPr="000B096E" w:rsidRDefault="000B096E" w:rsidP="00D001A8">
      <w:pPr>
        <w:pStyle w:val="NoSpacing"/>
        <w:numPr>
          <w:ilvl w:val="0"/>
          <w:numId w:val="88"/>
        </w:numPr>
      </w:pPr>
      <w:r w:rsidRPr="000B096E">
        <w:t>Ongoing formative assessment cycles.</w:t>
      </w:r>
    </w:p>
    <w:p w14:paraId="4AC59A68" w14:textId="77777777" w:rsidR="000B096E" w:rsidRPr="000B096E" w:rsidRDefault="000B096E" w:rsidP="00D001A8">
      <w:pPr>
        <w:pStyle w:val="NoSpacing"/>
        <w:numPr>
          <w:ilvl w:val="0"/>
          <w:numId w:val="88"/>
        </w:numPr>
      </w:pPr>
      <w:r w:rsidRPr="000B096E">
        <w:t>Progress tracking for identified students.</w:t>
      </w:r>
    </w:p>
    <w:p w14:paraId="19C1776D" w14:textId="77777777" w:rsidR="000B096E" w:rsidRPr="000B096E" w:rsidRDefault="000B096E" w:rsidP="00D001A8">
      <w:pPr>
        <w:pStyle w:val="NoSpacing"/>
        <w:numPr>
          <w:ilvl w:val="0"/>
          <w:numId w:val="88"/>
        </w:numPr>
      </w:pPr>
      <w:r w:rsidRPr="000B096E">
        <w:t>Departmental check-ins.</w:t>
      </w:r>
    </w:p>
    <w:p w14:paraId="2E0F5CCD" w14:textId="77777777" w:rsidR="000B096E" w:rsidRDefault="000B096E" w:rsidP="00D001A8">
      <w:pPr>
        <w:pStyle w:val="NoSpacing"/>
        <w:numPr>
          <w:ilvl w:val="0"/>
          <w:numId w:val="88"/>
        </w:numPr>
      </w:pPr>
      <w:r w:rsidRPr="000B096E">
        <w:t>Reflection using Plan–Do–Study–Act (PDSA) model.</w:t>
      </w:r>
    </w:p>
    <w:p w14:paraId="5D456BE4" w14:textId="77777777" w:rsidR="00D001A8" w:rsidRPr="000B096E" w:rsidRDefault="00D001A8" w:rsidP="00D001A8">
      <w:pPr>
        <w:pStyle w:val="NoSpacing"/>
        <w:ind w:left="720"/>
      </w:pPr>
    </w:p>
    <w:p w14:paraId="2A73570F" w14:textId="0F19CAEF" w:rsidR="000923D1" w:rsidRDefault="000923D1" w:rsidP="000923D1">
      <w:pPr>
        <w:rPr>
          <w:b/>
          <w:bCs/>
        </w:rPr>
      </w:pPr>
      <w:r>
        <w:rPr>
          <w:b/>
          <w:bCs/>
        </w:rPr>
        <w:t xml:space="preserve">Outcomes from this </w:t>
      </w:r>
      <w:r w:rsidR="00A650E4">
        <w:rPr>
          <w:b/>
          <w:bCs/>
        </w:rPr>
        <w:t>P</w:t>
      </w:r>
      <w:r>
        <w:rPr>
          <w:b/>
          <w:bCs/>
        </w:rPr>
        <w:t xml:space="preserve">rofessional </w:t>
      </w:r>
      <w:r w:rsidR="00A650E4">
        <w:rPr>
          <w:b/>
          <w:bCs/>
        </w:rPr>
        <w:t>D</w:t>
      </w:r>
      <w:r>
        <w:rPr>
          <w:b/>
          <w:bCs/>
        </w:rPr>
        <w:t>evelopment:</w:t>
      </w:r>
    </w:p>
    <w:p w14:paraId="12B49130" w14:textId="4EA0537B" w:rsidR="00E57B00" w:rsidRPr="00E57B00" w:rsidRDefault="00E57B00" w:rsidP="00E57B00">
      <w:r w:rsidRPr="00DB23B5">
        <w:t>Educators will ensure a commitment to e</w:t>
      </w:r>
      <w:r w:rsidRPr="00E57B00">
        <w:t>quity</w:t>
      </w:r>
      <w:r w:rsidRPr="00DB23B5">
        <w:t xml:space="preserve"> and p</w:t>
      </w:r>
      <w:r w:rsidRPr="00E57B00">
        <w:t>rioritize vulnerable learners.</w:t>
      </w:r>
      <w:r w:rsidRPr="00DB23B5">
        <w:t xml:space="preserve">  The school wide priority will be cross disciplinary </w:t>
      </w:r>
      <w:r w:rsidR="00DB23B5" w:rsidRPr="00DB23B5">
        <w:t xml:space="preserve">and a </w:t>
      </w:r>
      <w:r w:rsidRPr="00DB23B5">
        <w:t xml:space="preserve">shared </w:t>
      </w:r>
      <w:r w:rsidR="008A0967">
        <w:t xml:space="preserve">literacy </w:t>
      </w:r>
      <w:r w:rsidRPr="00DB23B5">
        <w:t>responsibility</w:t>
      </w:r>
      <w:r w:rsidR="003207EA">
        <w:t xml:space="preserve"> for literacy</w:t>
      </w:r>
      <w:r w:rsidRPr="00DB23B5">
        <w:t xml:space="preserve">. Data will ground the decisions regarding literacy priorities that will </w:t>
      </w:r>
      <w:r w:rsidR="00DB23B5" w:rsidRPr="00DB23B5">
        <w:t>be embedded</w:t>
      </w:r>
      <w:r w:rsidRPr="00DB23B5">
        <w:t xml:space="preserve"> and ongoing – not a </w:t>
      </w:r>
      <w:r w:rsidR="00DB23B5" w:rsidRPr="00DB23B5">
        <w:t>one-off</w:t>
      </w:r>
      <w:r w:rsidRPr="00DB23B5">
        <w:t xml:space="preserve"> workshop</w:t>
      </w:r>
      <w:r w:rsidR="00FC5B5D" w:rsidRPr="00DB23B5">
        <w:t xml:space="preserve"> and continue to develop </w:t>
      </w:r>
      <w:r w:rsidR="00DB23B5" w:rsidRPr="00DB23B5">
        <w:t>educators’</w:t>
      </w:r>
      <w:r w:rsidR="00FC5B5D" w:rsidRPr="00DB23B5">
        <w:t xml:space="preserve"> capacity and expertise. </w:t>
      </w:r>
    </w:p>
    <w:p w14:paraId="1EB91C8C" w14:textId="77777777" w:rsidR="00E57B00" w:rsidRDefault="00E57B00" w:rsidP="000923D1">
      <w:pPr>
        <w:rPr>
          <w:b/>
          <w:bCs/>
        </w:rPr>
      </w:pPr>
    </w:p>
    <w:sectPr w:rsidR="00E57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EC4"/>
    <w:multiLevelType w:val="multilevel"/>
    <w:tmpl w:val="6632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C5182"/>
    <w:multiLevelType w:val="multilevel"/>
    <w:tmpl w:val="6184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35050"/>
    <w:multiLevelType w:val="multilevel"/>
    <w:tmpl w:val="9AD4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A520D"/>
    <w:multiLevelType w:val="multilevel"/>
    <w:tmpl w:val="118E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B07B87"/>
    <w:multiLevelType w:val="multilevel"/>
    <w:tmpl w:val="6C66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220AF6"/>
    <w:multiLevelType w:val="multilevel"/>
    <w:tmpl w:val="569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755A99"/>
    <w:multiLevelType w:val="multilevel"/>
    <w:tmpl w:val="C1C4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052001"/>
    <w:multiLevelType w:val="hybridMultilevel"/>
    <w:tmpl w:val="05CEF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E0043"/>
    <w:multiLevelType w:val="multilevel"/>
    <w:tmpl w:val="6334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0910B4"/>
    <w:multiLevelType w:val="multilevel"/>
    <w:tmpl w:val="13BC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7D5D8F"/>
    <w:multiLevelType w:val="hybridMultilevel"/>
    <w:tmpl w:val="AC48E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A39BE"/>
    <w:multiLevelType w:val="hybridMultilevel"/>
    <w:tmpl w:val="CBB69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01EF3"/>
    <w:multiLevelType w:val="multilevel"/>
    <w:tmpl w:val="0A1C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F010D"/>
    <w:multiLevelType w:val="multilevel"/>
    <w:tmpl w:val="E09E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4D4B01"/>
    <w:multiLevelType w:val="multilevel"/>
    <w:tmpl w:val="556C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404D00"/>
    <w:multiLevelType w:val="multilevel"/>
    <w:tmpl w:val="84B2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6E63E2"/>
    <w:multiLevelType w:val="multilevel"/>
    <w:tmpl w:val="62A8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8674AE"/>
    <w:multiLevelType w:val="hybridMultilevel"/>
    <w:tmpl w:val="FC365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E4F76"/>
    <w:multiLevelType w:val="multilevel"/>
    <w:tmpl w:val="57A2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6F4F5B"/>
    <w:multiLevelType w:val="multilevel"/>
    <w:tmpl w:val="2148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922ECC"/>
    <w:multiLevelType w:val="hybridMultilevel"/>
    <w:tmpl w:val="EF6C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A5042C"/>
    <w:multiLevelType w:val="hybridMultilevel"/>
    <w:tmpl w:val="2DD0E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D07C66"/>
    <w:multiLevelType w:val="multilevel"/>
    <w:tmpl w:val="4096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3D43F2"/>
    <w:multiLevelType w:val="multilevel"/>
    <w:tmpl w:val="AE10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8611E9"/>
    <w:multiLevelType w:val="multilevel"/>
    <w:tmpl w:val="8CB2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1F7568"/>
    <w:multiLevelType w:val="multilevel"/>
    <w:tmpl w:val="D51A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193478C"/>
    <w:multiLevelType w:val="multilevel"/>
    <w:tmpl w:val="2C0E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41E5C2D"/>
    <w:multiLevelType w:val="multilevel"/>
    <w:tmpl w:val="FF12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550FD4"/>
    <w:multiLevelType w:val="multilevel"/>
    <w:tmpl w:val="F578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333AD2"/>
    <w:multiLevelType w:val="multilevel"/>
    <w:tmpl w:val="A9CA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8C0DC9"/>
    <w:multiLevelType w:val="multilevel"/>
    <w:tmpl w:val="256A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73D072C"/>
    <w:multiLevelType w:val="multilevel"/>
    <w:tmpl w:val="B72E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A023AE7"/>
    <w:multiLevelType w:val="multilevel"/>
    <w:tmpl w:val="E874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AA097A"/>
    <w:multiLevelType w:val="multilevel"/>
    <w:tmpl w:val="777C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D12C78"/>
    <w:multiLevelType w:val="hybridMultilevel"/>
    <w:tmpl w:val="646E5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85631A"/>
    <w:multiLevelType w:val="multilevel"/>
    <w:tmpl w:val="5F32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EE711B5"/>
    <w:multiLevelType w:val="multilevel"/>
    <w:tmpl w:val="01C4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0683C79"/>
    <w:multiLevelType w:val="multilevel"/>
    <w:tmpl w:val="53D2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2BC1A14"/>
    <w:multiLevelType w:val="multilevel"/>
    <w:tmpl w:val="7490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3243374"/>
    <w:multiLevelType w:val="multilevel"/>
    <w:tmpl w:val="4EF2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4887123"/>
    <w:multiLevelType w:val="multilevel"/>
    <w:tmpl w:val="3F0C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5721F43"/>
    <w:multiLevelType w:val="multilevel"/>
    <w:tmpl w:val="1DD4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7A56A95"/>
    <w:multiLevelType w:val="multilevel"/>
    <w:tmpl w:val="5C52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DDA21DD"/>
    <w:multiLevelType w:val="multilevel"/>
    <w:tmpl w:val="AE3A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EE34B25"/>
    <w:multiLevelType w:val="multilevel"/>
    <w:tmpl w:val="3ED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FFB498F"/>
    <w:multiLevelType w:val="hybridMultilevel"/>
    <w:tmpl w:val="9CF8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170613"/>
    <w:multiLevelType w:val="hybridMultilevel"/>
    <w:tmpl w:val="58FA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0275BC9"/>
    <w:multiLevelType w:val="multilevel"/>
    <w:tmpl w:val="0734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2197022"/>
    <w:multiLevelType w:val="hybridMultilevel"/>
    <w:tmpl w:val="42C01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211D21"/>
    <w:multiLevelType w:val="multilevel"/>
    <w:tmpl w:val="85EA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34333F4"/>
    <w:multiLevelType w:val="multilevel"/>
    <w:tmpl w:val="9FA8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50B08A1"/>
    <w:multiLevelType w:val="multilevel"/>
    <w:tmpl w:val="6BF87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5C85B31"/>
    <w:multiLevelType w:val="multilevel"/>
    <w:tmpl w:val="5400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90F1799"/>
    <w:multiLevelType w:val="multilevel"/>
    <w:tmpl w:val="F4D2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A6130C4"/>
    <w:multiLevelType w:val="multilevel"/>
    <w:tmpl w:val="FA5E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AF83F86"/>
    <w:multiLevelType w:val="multilevel"/>
    <w:tmpl w:val="898A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BDE4D75"/>
    <w:multiLevelType w:val="hybridMultilevel"/>
    <w:tmpl w:val="77EC3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CBB573B"/>
    <w:multiLevelType w:val="multilevel"/>
    <w:tmpl w:val="8ED6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D310A78"/>
    <w:multiLevelType w:val="hybridMultilevel"/>
    <w:tmpl w:val="7EEA6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3959C3"/>
    <w:multiLevelType w:val="hybridMultilevel"/>
    <w:tmpl w:val="CB68F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664660"/>
    <w:multiLevelType w:val="multilevel"/>
    <w:tmpl w:val="096E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03E2867"/>
    <w:multiLevelType w:val="multilevel"/>
    <w:tmpl w:val="4F9E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09E1682"/>
    <w:multiLevelType w:val="multilevel"/>
    <w:tmpl w:val="7354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9607E39"/>
    <w:multiLevelType w:val="multilevel"/>
    <w:tmpl w:val="502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A7176BC"/>
    <w:multiLevelType w:val="multilevel"/>
    <w:tmpl w:val="AE22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DD04F06"/>
    <w:multiLevelType w:val="multilevel"/>
    <w:tmpl w:val="9E38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0834EAD"/>
    <w:multiLevelType w:val="multilevel"/>
    <w:tmpl w:val="2D20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0BF3A87"/>
    <w:multiLevelType w:val="multilevel"/>
    <w:tmpl w:val="FE7A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13031C5"/>
    <w:multiLevelType w:val="multilevel"/>
    <w:tmpl w:val="263C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3C14126"/>
    <w:multiLevelType w:val="multilevel"/>
    <w:tmpl w:val="200E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4915757"/>
    <w:multiLevelType w:val="multilevel"/>
    <w:tmpl w:val="C868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6FF0B17"/>
    <w:multiLevelType w:val="multilevel"/>
    <w:tmpl w:val="3B3C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92504DA"/>
    <w:multiLevelType w:val="hybridMultilevel"/>
    <w:tmpl w:val="B580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425335"/>
    <w:multiLevelType w:val="multilevel"/>
    <w:tmpl w:val="B806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A9B1C1A"/>
    <w:multiLevelType w:val="multilevel"/>
    <w:tmpl w:val="9A54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AA46CFB"/>
    <w:multiLevelType w:val="multilevel"/>
    <w:tmpl w:val="3568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CF65DFB"/>
    <w:multiLevelType w:val="multilevel"/>
    <w:tmpl w:val="7896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DE65088"/>
    <w:multiLevelType w:val="multilevel"/>
    <w:tmpl w:val="5D4E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E31193E"/>
    <w:multiLevelType w:val="multilevel"/>
    <w:tmpl w:val="3C92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0567221"/>
    <w:multiLevelType w:val="multilevel"/>
    <w:tmpl w:val="388A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08F7987"/>
    <w:multiLevelType w:val="multilevel"/>
    <w:tmpl w:val="0670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43E518B"/>
    <w:multiLevelType w:val="hybridMultilevel"/>
    <w:tmpl w:val="096A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70F520C"/>
    <w:multiLevelType w:val="multilevel"/>
    <w:tmpl w:val="C892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A415CBE"/>
    <w:multiLevelType w:val="multilevel"/>
    <w:tmpl w:val="4C24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BE12938"/>
    <w:multiLevelType w:val="multilevel"/>
    <w:tmpl w:val="F14E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E0601A3"/>
    <w:multiLevelType w:val="hybridMultilevel"/>
    <w:tmpl w:val="11CAD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583C59"/>
    <w:multiLevelType w:val="multilevel"/>
    <w:tmpl w:val="AED4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F3567D4"/>
    <w:multiLevelType w:val="multilevel"/>
    <w:tmpl w:val="EAAA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297271">
    <w:abstractNumId w:val="28"/>
  </w:num>
  <w:num w:numId="2" w16cid:durableId="1790708830">
    <w:abstractNumId w:val="75"/>
  </w:num>
  <w:num w:numId="3" w16cid:durableId="1416055738">
    <w:abstractNumId w:val="2"/>
  </w:num>
  <w:num w:numId="4" w16cid:durableId="158008047">
    <w:abstractNumId w:val="66"/>
  </w:num>
  <w:num w:numId="5" w16cid:durableId="1783574342">
    <w:abstractNumId w:val="26"/>
  </w:num>
  <w:num w:numId="6" w16cid:durableId="1416628144">
    <w:abstractNumId w:val="43"/>
  </w:num>
  <w:num w:numId="7" w16cid:durableId="1888225192">
    <w:abstractNumId w:val="12"/>
  </w:num>
  <w:num w:numId="8" w16cid:durableId="1968201627">
    <w:abstractNumId w:val="65"/>
  </w:num>
  <w:num w:numId="9" w16cid:durableId="1085566480">
    <w:abstractNumId w:val="1"/>
  </w:num>
  <w:num w:numId="10" w16cid:durableId="707343576">
    <w:abstractNumId w:val="37"/>
  </w:num>
  <w:num w:numId="11" w16cid:durableId="1773163501">
    <w:abstractNumId w:val="84"/>
  </w:num>
  <w:num w:numId="12" w16cid:durableId="469329624">
    <w:abstractNumId w:val="82"/>
  </w:num>
  <w:num w:numId="13" w16cid:durableId="1991133765">
    <w:abstractNumId w:val="51"/>
  </w:num>
  <w:num w:numId="14" w16cid:durableId="854877949">
    <w:abstractNumId w:val="79"/>
  </w:num>
  <w:num w:numId="15" w16cid:durableId="1601447693">
    <w:abstractNumId w:val="49"/>
  </w:num>
  <w:num w:numId="16" w16cid:durableId="2056391683">
    <w:abstractNumId w:val="73"/>
  </w:num>
  <w:num w:numId="17" w16cid:durableId="1896696231">
    <w:abstractNumId w:val="5"/>
  </w:num>
  <w:num w:numId="18" w16cid:durableId="404375206">
    <w:abstractNumId w:val="52"/>
  </w:num>
  <w:num w:numId="19" w16cid:durableId="3368422">
    <w:abstractNumId w:val="87"/>
  </w:num>
  <w:num w:numId="20" w16cid:durableId="128324130">
    <w:abstractNumId w:val="71"/>
  </w:num>
  <w:num w:numId="21" w16cid:durableId="1375737995">
    <w:abstractNumId w:val="53"/>
  </w:num>
  <w:num w:numId="22" w16cid:durableId="1409957148">
    <w:abstractNumId w:val="42"/>
  </w:num>
  <w:num w:numId="23" w16cid:durableId="855539379">
    <w:abstractNumId w:val="31"/>
  </w:num>
  <w:num w:numId="24" w16cid:durableId="302082727">
    <w:abstractNumId w:val="74"/>
  </w:num>
  <w:num w:numId="25" w16cid:durableId="1554386681">
    <w:abstractNumId w:val="61"/>
  </w:num>
  <w:num w:numId="26" w16cid:durableId="914705846">
    <w:abstractNumId w:val="16"/>
  </w:num>
  <w:num w:numId="27" w16cid:durableId="696807081">
    <w:abstractNumId w:val="9"/>
  </w:num>
  <w:num w:numId="28" w16cid:durableId="1444350663">
    <w:abstractNumId w:val="22"/>
  </w:num>
  <w:num w:numId="29" w16cid:durableId="1792435376">
    <w:abstractNumId w:val="24"/>
  </w:num>
  <w:num w:numId="30" w16cid:durableId="609357191">
    <w:abstractNumId w:val="8"/>
  </w:num>
  <w:num w:numId="31" w16cid:durableId="635306130">
    <w:abstractNumId w:val="14"/>
  </w:num>
  <w:num w:numId="32" w16cid:durableId="1315571779">
    <w:abstractNumId w:val="0"/>
  </w:num>
  <w:num w:numId="33" w16cid:durableId="1821385841">
    <w:abstractNumId w:val="32"/>
  </w:num>
  <w:num w:numId="34" w16cid:durableId="256595652">
    <w:abstractNumId w:val="41"/>
  </w:num>
  <w:num w:numId="35" w16cid:durableId="1931962735">
    <w:abstractNumId w:val="80"/>
  </w:num>
  <w:num w:numId="36" w16cid:durableId="1176266792">
    <w:abstractNumId w:val="13"/>
  </w:num>
  <w:num w:numId="37" w16cid:durableId="1156874104">
    <w:abstractNumId w:val="25"/>
  </w:num>
  <w:num w:numId="38" w16cid:durableId="203711334">
    <w:abstractNumId w:val="69"/>
  </w:num>
  <w:num w:numId="39" w16cid:durableId="1366129873">
    <w:abstractNumId w:val="18"/>
  </w:num>
  <w:num w:numId="40" w16cid:durableId="1992565234">
    <w:abstractNumId w:val="27"/>
  </w:num>
  <w:num w:numId="41" w16cid:durableId="264774176">
    <w:abstractNumId w:val="86"/>
  </w:num>
  <w:num w:numId="42" w16cid:durableId="1837646601">
    <w:abstractNumId w:val="57"/>
  </w:num>
  <w:num w:numId="43" w16cid:durableId="1936554413">
    <w:abstractNumId w:val="70"/>
  </w:num>
  <w:num w:numId="44" w16cid:durableId="48386512">
    <w:abstractNumId w:val="50"/>
  </w:num>
  <w:num w:numId="45" w16cid:durableId="934240622">
    <w:abstractNumId w:val="64"/>
  </w:num>
  <w:num w:numId="46" w16cid:durableId="830827307">
    <w:abstractNumId w:val="83"/>
  </w:num>
  <w:num w:numId="47" w16cid:durableId="1070544667">
    <w:abstractNumId w:val="29"/>
  </w:num>
  <w:num w:numId="48" w16cid:durableId="1313096088">
    <w:abstractNumId w:val="40"/>
  </w:num>
  <w:num w:numId="49" w16cid:durableId="1353534850">
    <w:abstractNumId w:val="15"/>
  </w:num>
  <w:num w:numId="50" w16cid:durableId="816651274">
    <w:abstractNumId w:val="33"/>
  </w:num>
  <w:num w:numId="51" w16cid:durableId="1914966801">
    <w:abstractNumId w:val="4"/>
  </w:num>
  <w:num w:numId="52" w16cid:durableId="2036270188">
    <w:abstractNumId w:val="36"/>
  </w:num>
  <w:num w:numId="53" w16cid:durableId="1422944140">
    <w:abstractNumId w:val="62"/>
  </w:num>
  <w:num w:numId="54" w16cid:durableId="1139498963">
    <w:abstractNumId w:val="39"/>
  </w:num>
  <w:num w:numId="55" w16cid:durableId="1142961553">
    <w:abstractNumId w:val="77"/>
  </w:num>
  <w:num w:numId="56" w16cid:durableId="2033189767">
    <w:abstractNumId w:val="55"/>
  </w:num>
  <w:num w:numId="57" w16cid:durableId="2076001580">
    <w:abstractNumId w:val="78"/>
  </w:num>
  <w:num w:numId="58" w16cid:durableId="33506932">
    <w:abstractNumId w:val="67"/>
  </w:num>
  <w:num w:numId="59" w16cid:durableId="1382287971">
    <w:abstractNumId w:val="3"/>
  </w:num>
  <w:num w:numId="60" w16cid:durableId="1910994023">
    <w:abstractNumId w:val="38"/>
  </w:num>
  <w:num w:numId="61" w16cid:durableId="1730348733">
    <w:abstractNumId w:val="68"/>
  </w:num>
  <w:num w:numId="62" w16cid:durableId="411466081">
    <w:abstractNumId w:val="35"/>
  </w:num>
  <w:num w:numId="63" w16cid:durableId="445125950">
    <w:abstractNumId w:val="54"/>
  </w:num>
  <w:num w:numId="64" w16cid:durableId="403726872">
    <w:abstractNumId w:val="81"/>
  </w:num>
  <w:num w:numId="65" w16cid:durableId="311451273">
    <w:abstractNumId w:val="85"/>
  </w:num>
  <w:num w:numId="66" w16cid:durableId="1278414493">
    <w:abstractNumId w:val="56"/>
  </w:num>
  <w:num w:numId="67" w16cid:durableId="930897070">
    <w:abstractNumId w:val="46"/>
  </w:num>
  <w:num w:numId="68" w16cid:durableId="815756118">
    <w:abstractNumId w:val="72"/>
  </w:num>
  <w:num w:numId="69" w16cid:durableId="2075735433">
    <w:abstractNumId w:val="11"/>
  </w:num>
  <w:num w:numId="70" w16cid:durableId="1916698193">
    <w:abstractNumId w:val="63"/>
  </w:num>
  <w:num w:numId="71" w16cid:durableId="2020963435">
    <w:abstractNumId w:val="60"/>
  </w:num>
  <w:num w:numId="72" w16cid:durableId="356739276">
    <w:abstractNumId w:val="6"/>
  </w:num>
  <w:num w:numId="73" w16cid:durableId="1933272225">
    <w:abstractNumId w:val="19"/>
  </w:num>
  <w:num w:numId="74" w16cid:durableId="713820754">
    <w:abstractNumId w:val="47"/>
  </w:num>
  <w:num w:numId="75" w16cid:durableId="642854154">
    <w:abstractNumId w:val="30"/>
  </w:num>
  <w:num w:numId="76" w16cid:durableId="2048025038">
    <w:abstractNumId w:val="23"/>
  </w:num>
  <w:num w:numId="77" w16cid:durableId="1745911607">
    <w:abstractNumId w:val="76"/>
  </w:num>
  <w:num w:numId="78" w16cid:durableId="2126729525">
    <w:abstractNumId w:val="44"/>
  </w:num>
  <w:num w:numId="79" w16cid:durableId="1748107911">
    <w:abstractNumId w:val="21"/>
  </w:num>
  <w:num w:numId="80" w16cid:durableId="170218023">
    <w:abstractNumId w:val="10"/>
  </w:num>
  <w:num w:numId="81" w16cid:durableId="664940461">
    <w:abstractNumId w:val="59"/>
  </w:num>
  <w:num w:numId="82" w16cid:durableId="615912603">
    <w:abstractNumId w:val="34"/>
  </w:num>
  <w:num w:numId="83" w16cid:durableId="1996647234">
    <w:abstractNumId w:val="7"/>
  </w:num>
  <w:num w:numId="84" w16cid:durableId="1024014067">
    <w:abstractNumId w:val="45"/>
  </w:num>
  <w:num w:numId="85" w16cid:durableId="518543786">
    <w:abstractNumId w:val="17"/>
  </w:num>
  <w:num w:numId="86" w16cid:durableId="1807776214">
    <w:abstractNumId w:val="58"/>
  </w:num>
  <w:num w:numId="87" w16cid:durableId="286008079">
    <w:abstractNumId w:val="20"/>
  </w:num>
  <w:num w:numId="88" w16cid:durableId="72459719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B2"/>
    <w:rsid w:val="000370B9"/>
    <w:rsid w:val="00053755"/>
    <w:rsid w:val="0006010D"/>
    <w:rsid w:val="00066EAC"/>
    <w:rsid w:val="000923D1"/>
    <w:rsid w:val="000B096E"/>
    <w:rsid w:val="00105987"/>
    <w:rsid w:val="001063DF"/>
    <w:rsid w:val="0011567B"/>
    <w:rsid w:val="001702F6"/>
    <w:rsid w:val="00233101"/>
    <w:rsid w:val="002D396D"/>
    <w:rsid w:val="002F4B0E"/>
    <w:rsid w:val="002F596D"/>
    <w:rsid w:val="003207EA"/>
    <w:rsid w:val="003D5A14"/>
    <w:rsid w:val="00407230"/>
    <w:rsid w:val="004C37D6"/>
    <w:rsid w:val="0053356D"/>
    <w:rsid w:val="00556666"/>
    <w:rsid w:val="005B0B69"/>
    <w:rsid w:val="005C2EDC"/>
    <w:rsid w:val="00653A91"/>
    <w:rsid w:val="006625CB"/>
    <w:rsid w:val="00674372"/>
    <w:rsid w:val="006A1D88"/>
    <w:rsid w:val="00700EB0"/>
    <w:rsid w:val="00713530"/>
    <w:rsid w:val="00775BD1"/>
    <w:rsid w:val="007950EE"/>
    <w:rsid w:val="007C7C2D"/>
    <w:rsid w:val="007E23C1"/>
    <w:rsid w:val="00822ADA"/>
    <w:rsid w:val="00890999"/>
    <w:rsid w:val="00897671"/>
    <w:rsid w:val="008A0967"/>
    <w:rsid w:val="008B18BC"/>
    <w:rsid w:val="008B19D8"/>
    <w:rsid w:val="008B28A8"/>
    <w:rsid w:val="00914BB2"/>
    <w:rsid w:val="00955736"/>
    <w:rsid w:val="009563DA"/>
    <w:rsid w:val="00996C59"/>
    <w:rsid w:val="009C25F9"/>
    <w:rsid w:val="009C74EA"/>
    <w:rsid w:val="009D375C"/>
    <w:rsid w:val="009D5A62"/>
    <w:rsid w:val="009E7456"/>
    <w:rsid w:val="009F3437"/>
    <w:rsid w:val="009F54A4"/>
    <w:rsid w:val="009F6FF0"/>
    <w:rsid w:val="00A03D65"/>
    <w:rsid w:val="00A20029"/>
    <w:rsid w:val="00A650E4"/>
    <w:rsid w:val="00A76293"/>
    <w:rsid w:val="00A918EC"/>
    <w:rsid w:val="00B2753B"/>
    <w:rsid w:val="00BC3BC9"/>
    <w:rsid w:val="00BD35FF"/>
    <w:rsid w:val="00C2485F"/>
    <w:rsid w:val="00CB69A6"/>
    <w:rsid w:val="00CC5C4A"/>
    <w:rsid w:val="00CD6900"/>
    <w:rsid w:val="00D001A8"/>
    <w:rsid w:val="00D00974"/>
    <w:rsid w:val="00D11B7B"/>
    <w:rsid w:val="00D525B2"/>
    <w:rsid w:val="00D65805"/>
    <w:rsid w:val="00D66591"/>
    <w:rsid w:val="00D709AF"/>
    <w:rsid w:val="00D85F0C"/>
    <w:rsid w:val="00DB23B5"/>
    <w:rsid w:val="00DB518A"/>
    <w:rsid w:val="00E57B00"/>
    <w:rsid w:val="00EC5352"/>
    <w:rsid w:val="00F45FEA"/>
    <w:rsid w:val="00F63B8E"/>
    <w:rsid w:val="00F90FB1"/>
    <w:rsid w:val="00FA4137"/>
    <w:rsid w:val="00FC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E965"/>
  <w15:chartTrackingRefBased/>
  <w15:docId w15:val="{1B5460A2-0B32-48B1-9B5C-890E94C4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5B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7437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745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494743f-7201-494d-a452-f48c5388c4c0}" enabled="0" method="" siteId="{a494743f-7201-494d-a452-f48c5388c4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 Lay, Sharon</dc:creator>
  <cp:keywords/>
  <dc:description/>
  <cp:lastModifiedBy>MacLellan, Susan</cp:lastModifiedBy>
  <cp:revision>2</cp:revision>
  <dcterms:created xsi:type="dcterms:W3CDTF">2026-03-04T16:05:00Z</dcterms:created>
  <dcterms:modified xsi:type="dcterms:W3CDTF">2026-03-04T16:05:00Z</dcterms:modified>
</cp:coreProperties>
</file>